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03" w:rsidRDefault="00897803" w:rsidP="00A21460">
      <w:pPr>
        <w:shd w:val="clear" w:color="auto" w:fill="FFFFFF"/>
        <w:autoSpaceDE w:val="0"/>
        <w:autoSpaceDN w:val="0"/>
        <w:adjustRightInd w:val="0"/>
        <w:spacing w:after="200"/>
        <w:rPr>
          <w:rFonts w:cs="Times New Roman"/>
          <w:b/>
          <w:bCs/>
          <w:sz w:val="32"/>
          <w:szCs w:val="32"/>
          <w:rtl/>
        </w:rPr>
      </w:pPr>
    </w:p>
    <w:p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5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540"/>
        <w:gridCol w:w="300"/>
        <w:gridCol w:w="334"/>
        <w:gridCol w:w="1862"/>
        <w:gridCol w:w="386"/>
        <w:gridCol w:w="1556"/>
        <w:gridCol w:w="1904"/>
        <w:gridCol w:w="1794"/>
      </w:tblGrid>
      <w:tr w:rsidR="001121E3" w:rsidRPr="00B80B61" w:rsidTr="00F74C41">
        <w:tc>
          <w:tcPr>
            <w:tcW w:w="9540" w:type="dxa"/>
            <w:gridSpan w:val="9"/>
            <w:shd w:val="clear" w:color="auto" w:fill="DEEAF6"/>
          </w:tcPr>
          <w:p w:rsidR="001121E3" w:rsidRPr="00B80B61" w:rsidRDefault="001121E3" w:rsidP="001003C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auto"/>
          </w:tcPr>
          <w:p w:rsidR="001121E3" w:rsidRPr="00B80B61" w:rsidRDefault="00E27076" w:rsidP="00E27076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Engineering Economy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DEEAF6"/>
          </w:tcPr>
          <w:p w:rsidR="001121E3" w:rsidRPr="00B80B61" w:rsidRDefault="001121E3" w:rsidP="001003C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auto"/>
          </w:tcPr>
          <w:p w:rsidR="001121E3" w:rsidRPr="00B80B61" w:rsidRDefault="001121E3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DEEAF6"/>
          </w:tcPr>
          <w:p w:rsidR="001121E3" w:rsidRPr="00B80B61" w:rsidRDefault="001121E3" w:rsidP="00E270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="00DF52B3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auto"/>
          </w:tcPr>
          <w:p w:rsidR="001121E3" w:rsidRPr="00B80B61" w:rsidRDefault="00E27076" w:rsidP="00E27076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Second</w:t>
            </w:r>
            <w:r w:rsidR="0018582F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/ 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Third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DEEAF6"/>
          </w:tcPr>
          <w:p w:rsidR="001121E3" w:rsidRPr="00B80B61" w:rsidRDefault="00F74C41" w:rsidP="001003C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  <w:r w:rsidR="00DF52B3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auto"/>
          </w:tcPr>
          <w:p w:rsidR="001121E3" w:rsidRPr="00B80B61" w:rsidRDefault="0018582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15 September 2023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DEEAF6"/>
          </w:tcPr>
          <w:p w:rsidR="001121E3" w:rsidRPr="00B80B61" w:rsidRDefault="00EC7169" w:rsidP="001003CB">
            <w:pPr>
              <w:numPr>
                <w:ilvl w:val="0"/>
                <w:numId w:val="1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:rsidTr="00F74C41">
        <w:tc>
          <w:tcPr>
            <w:tcW w:w="9540" w:type="dxa"/>
            <w:gridSpan w:val="9"/>
            <w:shd w:val="clear" w:color="auto" w:fill="auto"/>
          </w:tcPr>
          <w:p w:rsidR="001121E3" w:rsidRPr="00B80B61" w:rsidRDefault="0018582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eastAsia="Calibri" w:cs="Times New Roman"/>
                <w:sz w:val="28"/>
                <w:szCs w:val="28"/>
              </w:rPr>
              <w:t>Class</w:t>
            </w:r>
          </w:p>
        </w:tc>
      </w:tr>
      <w:tr w:rsidR="00B50377" w:rsidRPr="00B80B61" w:rsidTr="00F74C41">
        <w:tc>
          <w:tcPr>
            <w:tcW w:w="9540" w:type="dxa"/>
            <w:gridSpan w:val="9"/>
            <w:shd w:val="clear" w:color="auto" w:fill="DEEAF6"/>
          </w:tcPr>
          <w:p w:rsidR="00B50377" w:rsidRPr="00B80B61" w:rsidRDefault="00B50377" w:rsidP="001003CB">
            <w:pPr>
              <w:numPr>
                <w:ilvl w:val="0"/>
                <w:numId w:val="1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:rsidTr="00F74C41">
        <w:tc>
          <w:tcPr>
            <w:tcW w:w="9540" w:type="dxa"/>
            <w:gridSpan w:val="9"/>
            <w:shd w:val="clear" w:color="auto" w:fill="auto"/>
          </w:tcPr>
          <w:p w:rsidR="00B50377" w:rsidRPr="00B80B61" w:rsidRDefault="009667BF" w:rsidP="009667BF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  <w:r w:rsidR="00DF52B3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/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  <w:bookmarkStart w:id="0" w:name="_GoBack"/>
            <w:bookmarkEnd w:id="0"/>
          </w:p>
          <w:p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3E4FBE" w:rsidRPr="00B80B61" w:rsidTr="00F74C41">
        <w:tc>
          <w:tcPr>
            <w:tcW w:w="9540" w:type="dxa"/>
            <w:gridSpan w:val="9"/>
            <w:shd w:val="clear" w:color="auto" w:fill="DEEAF6"/>
          </w:tcPr>
          <w:p w:rsidR="003E4FBE" w:rsidRPr="00B02F18" w:rsidRDefault="00A53B00" w:rsidP="001003CB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:rsidTr="00F74C41">
        <w:tc>
          <w:tcPr>
            <w:tcW w:w="9540" w:type="dxa"/>
            <w:gridSpan w:val="9"/>
            <w:shd w:val="clear" w:color="auto" w:fill="auto"/>
          </w:tcPr>
          <w:p w:rsidR="00F74C41" w:rsidRDefault="00A53B00" w:rsidP="00AE3B2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Name:</w:t>
            </w:r>
            <w:r w:rsidR="00AE3B2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  <w:r w:rsidR="00DF52B3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Prof. Dr. Ahmed Mancy </w:t>
            </w:r>
            <w:proofErr w:type="spellStart"/>
            <w:r w:rsidR="00DF52B3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Mosa</w:t>
            </w:r>
            <w:proofErr w:type="spellEnd"/>
          </w:p>
          <w:p w:rsidR="003E4FBE" w:rsidRDefault="00F74C41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hyperlink r:id="rId10" w:history="1">
              <w:r w:rsidR="00DF52B3" w:rsidRPr="000B3512">
                <w:rPr>
                  <w:rStyle w:val="Hyperlink"/>
                  <w:rFonts w:ascii="Cambria" w:eastAsia="Calibri" w:hAnsi="Cambria" w:cs="Times New Roman"/>
                  <w:sz w:val="28"/>
                  <w:szCs w:val="28"/>
                </w:rPr>
                <w:t>ahmed.mancy@muc.edu.iq</w:t>
              </w:r>
            </w:hyperlink>
            <w:r w:rsidR="00DF52B3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</w:p>
          <w:p w:rsidR="00A53B00" w:rsidRPr="00B80B6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50377" w:rsidRPr="00B80B61" w:rsidTr="00F74C41">
        <w:tc>
          <w:tcPr>
            <w:tcW w:w="9540" w:type="dxa"/>
            <w:gridSpan w:val="9"/>
            <w:shd w:val="clear" w:color="auto" w:fill="DEEAF6"/>
          </w:tcPr>
          <w:p w:rsidR="00BA11FF" w:rsidRPr="00B80B61" w:rsidRDefault="00B50377" w:rsidP="001003CB">
            <w:pPr>
              <w:numPr>
                <w:ilvl w:val="0"/>
                <w:numId w:val="1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:rsidTr="009667BF">
        <w:tc>
          <w:tcPr>
            <w:tcW w:w="2038" w:type="dxa"/>
            <w:gridSpan w:val="4"/>
            <w:shd w:val="clear" w:color="auto" w:fill="auto"/>
          </w:tcPr>
          <w:p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502" w:type="dxa"/>
            <w:gridSpan w:val="5"/>
            <w:shd w:val="clear" w:color="auto" w:fill="auto"/>
          </w:tcPr>
          <w:p w:rsidR="001941DF" w:rsidRPr="00AA7671" w:rsidRDefault="001941DF" w:rsidP="001941D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IDFont+F1" w:cs="CIDFont+F1"/>
                <w:color w:val="1C1D1F"/>
                <w:sz w:val="21"/>
                <w:szCs w:val="21"/>
              </w:rPr>
            </w:pPr>
            <w:r w:rsidRPr="00AA7671">
              <w:rPr>
                <w:rFonts w:ascii="CIDFont+F1" w:cs="CIDFont+F1"/>
                <w:color w:val="1C1D1F"/>
                <w:sz w:val="21"/>
                <w:szCs w:val="21"/>
              </w:rPr>
              <w:t>Understand importance of engineering economics, and gain a working knowledge of money management and how to make economic comparisons of alternative engineering designs or projects.</w:t>
            </w:r>
          </w:p>
          <w:p w:rsidR="001941DF" w:rsidRPr="00AA7671" w:rsidRDefault="001941DF" w:rsidP="001941D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IDFont+F1" w:cs="CIDFont+F1"/>
                <w:color w:val="1C1D1F"/>
                <w:sz w:val="21"/>
                <w:szCs w:val="21"/>
              </w:rPr>
            </w:pPr>
            <w:r w:rsidRPr="00AA7671">
              <w:rPr>
                <w:rFonts w:ascii="CIDFont+F1" w:cs="CIDFont+F1"/>
                <w:color w:val="1C1D1F"/>
                <w:sz w:val="21"/>
                <w:szCs w:val="21"/>
              </w:rPr>
              <w:t>Understand the impact of depreciation, inflation, taxation, economic basis for replacement, project scheduling, and applied to economic investment and project-management problems.</w:t>
            </w:r>
          </w:p>
          <w:p w:rsidR="001941DF" w:rsidRPr="00AA7671" w:rsidRDefault="001941DF" w:rsidP="001941D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IDFont+F1" w:cs="CIDFont+F1" w:hint="cs"/>
                <w:color w:val="1C1D1F"/>
                <w:sz w:val="21"/>
                <w:szCs w:val="21"/>
              </w:rPr>
            </w:pPr>
            <w:r w:rsidRPr="00AA7671">
              <w:rPr>
                <w:rFonts w:ascii="CIDFont+F1" w:cs="CIDFont+F1"/>
                <w:color w:val="1C1D1F"/>
                <w:sz w:val="21"/>
                <w:szCs w:val="21"/>
              </w:rPr>
              <w:t>Appreciation of ethical and other economic issues related to professional and personal financial and economic decisions.</w:t>
            </w:r>
          </w:p>
          <w:p w:rsidR="00EC7169" w:rsidRPr="003D293A" w:rsidRDefault="00EC7169" w:rsidP="003D293A">
            <w:pPr>
              <w:rPr>
                <w:rtl/>
                <w:lang w:bidi="ar-IQ"/>
              </w:rPr>
            </w:pPr>
          </w:p>
        </w:tc>
      </w:tr>
      <w:tr w:rsidR="00B50377" w:rsidRPr="00B80B61" w:rsidTr="00F74C41">
        <w:tc>
          <w:tcPr>
            <w:tcW w:w="9540" w:type="dxa"/>
            <w:gridSpan w:val="9"/>
            <w:shd w:val="clear" w:color="auto" w:fill="DEEAF6"/>
          </w:tcPr>
          <w:p w:rsidR="00BA11FF" w:rsidRPr="00B80B61" w:rsidRDefault="00B50377" w:rsidP="001003CB">
            <w:pPr>
              <w:numPr>
                <w:ilvl w:val="0"/>
                <w:numId w:val="1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:rsidTr="009667BF">
        <w:tc>
          <w:tcPr>
            <w:tcW w:w="1404" w:type="dxa"/>
            <w:gridSpan w:val="2"/>
            <w:shd w:val="clear" w:color="auto" w:fill="auto"/>
          </w:tcPr>
          <w:p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136" w:type="dxa"/>
            <w:gridSpan w:val="7"/>
            <w:shd w:val="clear" w:color="auto" w:fill="auto"/>
          </w:tcPr>
          <w:p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The main adopted strategy in delivering this module, encourage students</w:t>
            </w:r>
            <w:r>
              <w:rPr>
                <w:rFonts w:ascii="CIDFont+F1" w:cs="CIDFont+F1" w:hint="cs"/>
                <w:sz w:val="21"/>
                <w:szCs w:val="21"/>
              </w:rPr>
              <w:t>’</w:t>
            </w:r>
            <w:r>
              <w:rPr>
                <w:rFonts w:ascii="CIDFont+F1" w:cs="CIDFont+F1"/>
                <w:sz w:val="21"/>
                <w:szCs w:val="21"/>
              </w:rPr>
              <w:t xml:space="preserve"> participation in the exercises, refining and expanding their critical thinking skills comprised: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Lectures.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Tutorials.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Homework and Assignments.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Tests and Exams.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In-Class Questions and Discussions.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Connection between Theory and Application.</w:t>
            </w:r>
          </w:p>
          <w:p w:rsidR="001941DF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Extracurricular Activities.</w:t>
            </w:r>
          </w:p>
          <w:p w:rsidR="001941DF" w:rsidRPr="00AA7671" w:rsidRDefault="001941DF" w:rsidP="001941DF">
            <w:pPr>
              <w:autoSpaceDE w:val="0"/>
              <w:autoSpaceDN w:val="0"/>
              <w:adjustRightInd w:val="0"/>
              <w:rPr>
                <w:rFonts w:ascii="CIDFont+F1" w:cs="CIDFont+F1" w:hint="cs"/>
                <w:color w:val="1C1D1F"/>
                <w:sz w:val="21"/>
                <w:szCs w:val="21"/>
              </w:rPr>
            </w:pPr>
            <w:r>
              <w:rPr>
                <w:rFonts w:ascii="CIDFont+F1" w:cs="CIDFont+F1"/>
                <w:sz w:val="21"/>
                <w:szCs w:val="21"/>
              </w:rPr>
              <w:t>In- and Out-Class oral conservations.</w:t>
            </w:r>
          </w:p>
          <w:p w:rsidR="00EC7169" w:rsidRPr="00B80B61" w:rsidRDefault="00EC7169" w:rsidP="003D293A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50377" w:rsidRPr="00B80B61" w:rsidTr="00F74C41">
        <w:tc>
          <w:tcPr>
            <w:tcW w:w="9540" w:type="dxa"/>
            <w:gridSpan w:val="9"/>
            <w:shd w:val="clear" w:color="auto" w:fill="DEEAF6"/>
          </w:tcPr>
          <w:p w:rsidR="00BA11FF" w:rsidRPr="00B80B61" w:rsidRDefault="00BA11FF" w:rsidP="001003CB">
            <w:pPr>
              <w:numPr>
                <w:ilvl w:val="0"/>
                <w:numId w:val="1"/>
              </w:numPr>
              <w:ind w:left="513" w:hanging="513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BA11FF" w:rsidRPr="00B80B61" w:rsidTr="009667BF">
        <w:trPr>
          <w:trHeight w:val="182"/>
        </w:trPr>
        <w:tc>
          <w:tcPr>
            <w:tcW w:w="864" w:type="dxa"/>
            <w:shd w:val="clear" w:color="auto" w:fill="BDD6EE"/>
          </w:tcPr>
          <w:p w:rsidR="00BA11FF" w:rsidRPr="00897803" w:rsidRDefault="00325978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lastRenderedPageBreak/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gridSpan w:val="2"/>
            <w:shd w:val="clear" w:color="auto" w:fill="BDD6EE"/>
          </w:tcPr>
          <w:p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Hours </w:t>
            </w:r>
          </w:p>
        </w:tc>
        <w:tc>
          <w:tcPr>
            <w:tcW w:w="2196" w:type="dxa"/>
            <w:gridSpan w:val="2"/>
            <w:shd w:val="clear" w:color="auto" w:fill="BDD6EE"/>
          </w:tcPr>
          <w:p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Required Learning Outcomes </w:t>
            </w:r>
          </w:p>
        </w:tc>
        <w:tc>
          <w:tcPr>
            <w:tcW w:w="1942" w:type="dxa"/>
            <w:gridSpan w:val="2"/>
            <w:shd w:val="clear" w:color="auto" w:fill="BDD6EE"/>
          </w:tcPr>
          <w:p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Unit or subject name </w:t>
            </w:r>
          </w:p>
        </w:tc>
        <w:tc>
          <w:tcPr>
            <w:tcW w:w="1904" w:type="dxa"/>
            <w:shd w:val="clear" w:color="auto" w:fill="BDD6EE"/>
          </w:tcPr>
          <w:p w:rsidR="00BA11FF" w:rsidRPr="00897803" w:rsidRDefault="00E34E2B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Learning method </w:t>
            </w:r>
          </w:p>
        </w:tc>
        <w:tc>
          <w:tcPr>
            <w:tcW w:w="1794" w:type="dxa"/>
            <w:shd w:val="clear" w:color="auto" w:fill="BDD6EE"/>
          </w:tcPr>
          <w:p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Evaluation method </w:t>
            </w:r>
          </w:p>
        </w:tc>
      </w:tr>
      <w:tr w:rsidR="00AC4395" w:rsidRPr="00B80B61" w:rsidTr="009667BF">
        <w:trPr>
          <w:trHeight w:val="113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Introduction - Description and Role in Decision Making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Pr="00D10410" w:rsidRDefault="00AC4395" w:rsidP="003F7A1C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lang w:bidi="ar-IQ"/>
              </w:rPr>
            </w:pPr>
            <w:r>
              <w:t>Principles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Interest Rate and Rate of Return, Cash Flows: Estimation and Diagramming, Simple and Compound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Pr="00D10410" w:rsidRDefault="00AC4395" w:rsidP="00F23AC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lang w:bidi="ar-IQ"/>
              </w:rPr>
            </w:pPr>
            <w:r>
              <w:t>Principles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Costs- Interest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Pr="00D10410" w:rsidRDefault="00AC4395" w:rsidP="00F23AC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lang w:bidi="ar-IQ"/>
              </w:rPr>
            </w:pPr>
            <w:r>
              <w:t>Principles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Demand-Supply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Pr="00D10410" w:rsidRDefault="00AC4395" w:rsidP="00F23AC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lang w:bidi="ar-IQ"/>
              </w:rPr>
            </w:pPr>
            <w:r>
              <w:t>Principles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The time value of money - Economic Equivalence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Pr="00D10410" w:rsidRDefault="00AC4395" w:rsidP="00F23AC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lang w:bidi="ar-IQ"/>
              </w:rPr>
            </w:pPr>
            <w:r>
              <w:t>Principles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Deprecation: Introduction and Calculation methods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Pr="00D10410" w:rsidRDefault="00AC4395" w:rsidP="003F7A1C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lang w:bidi="ar-IQ"/>
              </w:rPr>
            </w:pPr>
            <w:r w:rsidRPr="00372907">
              <w:t>Deprecation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Deprecation: Examples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3F7A1C">
            <w:r w:rsidRPr="00372907">
              <w:t>Deprecation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The basic methods for economic studies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AC4395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Compression between alternatives: Introduction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Present Worth Comparison of Equal-Lived Alternatives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Present Worth Comparison of Different-Lived Alternatives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Present Worth Comparison of Infinite Analysis Periods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Equivalent Uniform Annual Worth Analysis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Pr="00372907" w:rsidRDefault="00AC4395" w:rsidP="0051007B">
            <w:r w:rsidRPr="00372907">
              <w:t>The Rate of Return Method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9667BF">
        <w:trPr>
          <w:trHeight w:val="181"/>
        </w:trPr>
        <w:tc>
          <w:tcPr>
            <w:tcW w:w="864" w:type="dxa"/>
            <w:shd w:val="clear" w:color="auto" w:fill="auto"/>
            <w:vAlign w:val="center"/>
          </w:tcPr>
          <w:p w:rsidR="00AC4395" w:rsidRPr="00D10410" w:rsidRDefault="00AC4395" w:rsidP="001003C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AC4395" w:rsidRPr="00B80B61" w:rsidRDefault="00AC4395" w:rsidP="006E2216">
            <w:pPr>
              <w:shd w:val="clear" w:color="auto" w:fill="FFFFFF"/>
              <w:autoSpaceDE w:val="0"/>
              <w:autoSpaceDN w:val="0"/>
              <w:adjustRightInd w:val="0"/>
              <w:ind w:left="36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2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C4395" w:rsidRDefault="00AC4395" w:rsidP="0051007B">
            <w:r w:rsidRPr="00372907">
              <w:t>Benefit/Cost Ratio Method</w:t>
            </w:r>
          </w:p>
        </w:tc>
        <w:tc>
          <w:tcPr>
            <w:tcW w:w="1942" w:type="dxa"/>
            <w:gridSpan w:val="2"/>
            <w:shd w:val="clear" w:color="auto" w:fill="auto"/>
            <w:vAlign w:val="center"/>
          </w:tcPr>
          <w:p w:rsidR="00AC4395" w:rsidRDefault="00AC4395" w:rsidP="00F23AC6">
            <w:r>
              <w:t>B</w:t>
            </w:r>
            <w:r>
              <w:t xml:space="preserve">est </w:t>
            </w:r>
            <w:r>
              <w:t>A</w:t>
            </w:r>
            <w:r>
              <w:t>lternative</w:t>
            </w:r>
            <w:r>
              <w:t xml:space="preserve"> Selection 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sz w:val="28"/>
                <w:szCs w:val="28"/>
                <w:lang w:bidi="ar-IQ"/>
              </w:rPr>
              <w:t>Theoretical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AC4395" w:rsidRPr="00D10410" w:rsidRDefault="00AC4395" w:rsidP="0018582F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AC4395" w:rsidRPr="00B80B61" w:rsidTr="00F74C41">
        <w:tc>
          <w:tcPr>
            <w:tcW w:w="9540" w:type="dxa"/>
            <w:gridSpan w:val="9"/>
            <w:shd w:val="clear" w:color="auto" w:fill="DEEAF6"/>
          </w:tcPr>
          <w:p w:rsidR="00AC4395" w:rsidRPr="00B80B61" w:rsidRDefault="00AC4395" w:rsidP="001003CB">
            <w:pPr>
              <w:numPr>
                <w:ilvl w:val="0"/>
                <w:numId w:val="1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AC4395" w:rsidRPr="00B80B61" w:rsidTr="00F74C41">
        <w:tc>
          <w:tcPr>
            <w:tcW w:w="9540" w:type="dxa"/>
            <w:gridSpan w:val="9"/>
            <w:shd w:val="clear" w:color="auto" w:fill="auto"/>
          </w:tcPr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>Distributing the score out of 100 according to the tasks assigned to the student such as daily preparation, daily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oral, monthly, 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or </w:t>
            </w: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>written exams, reports .... etc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1.  Course cumulative: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a. </w:t>
            </w:r>
            <w:r w:rsidRPr="0018582F">
              <w:rPr>
                <w:rFonts w:ascii="CIDFont+F2" w:hAnsi="CIDFont+F2" w:cs="CIDFont+F2"/>
                <w:sz w:val="21"/>
                <w:szCs w:val="21"/>
              </w:rPr>
              <w:t>Assignments</w:t>
            </w:r>
            <w:r>
              <w:rPr>
                <w:rFonts w:ascii="CIDFont+F2" w:hAnsi="CIDFont+F2" w:cs="CIDFont+F2"/>
                <w:sz w:val="21"/>
                <w:szCs w:val="21"/>
              </w:rPr>
              <w:t>: 5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>b. Quizzes: 5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lastRenderedPageBreak/>
              <w:t xml:space="preserve">c. </w:t>
            </w:r>
            <w:r w:rsidRPr="0018582F">
              <w:rPr>
                <w:rFonts w:ascii="CIDFont+F2" w:hAnsi="CIDFont+F2" w:cs="CIDFont+F2"/>
                <w:sz w:val="21"/>
                <w:szCs w:val="21"/>
              </w:rPr>
              <w:t>Midterm Exam</w:t>
            </w:r>
            <w:r>
              <w:rPr>
                <w:rFonts w:ascii="CIDFont+F2" w:hAnsi="CIDFont+F2" w:cs="CIDFont+F2"/>
                <w:sz w:val="21"/>
                <w:szCs w:val="21"/>
              </w:rPr>
              <w:t>s: 15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>d. Reports and Computer Laboratory activities: 15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>e. Practical Exam: 10</w:t>
            </w: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</w:p>
          <w:p w:rsidR="00AC4395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IDFont+F2" w:hAnsi="CIDFont+F2" w:cs="CIDFont+F2"/>
                <w:sz w:val="21"/>
                <w:szCs w:val="21"/>
              </w:rPr>
            </w:pPr>
            <w:r>
              <w:rPr>
                <w:rFonts w:ascii="CIDFont+F2" w:hAnsi="CIDFont+F2" w:cs="CIDFont+F2"/>
                <w:sz w:val="21"/>
                <w:szCs w:val="21"/>
              </w:rPr>
              <w:t>2. Final Exam: 50</w:t>
            </w:r>
          </w:p>
          <w:p w:rsidR="00AC4395" w:rsidRPr="00852557" w:rsidRDefault="00AC4395" w:rsidP="001858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AC4395" w:rsidRPr="00B80B61" w:rsidTr="00F74C41">
        <w:tc>
          <w:tcPr>
            <w:tcW w:w="9540" w:type="dxa"/>
            <w:gridSpan w:val="9"/>
            <w:shd w:val="clear" w:color="auto" w:fill="DEEAF6"/>
          </w:tcPr>
          <w:p w:rsidR="00AC4395" w:rsidRPr="00B80B61" w:rsidRDefault="00AC4395" w:rsidP="001003CB">
            <w:pPr>
              <w:numPr>
                <w:ilvl w:val="0"/>
                <w:numId w:val="1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lastRenderedPageBreak/>
              <w:t xml:space="preserve">Learning and Teaching Resources </w:t>
            </w:r>
          </w:p>
        </w:tc>
      </w:tr>
      <w:tr w:rsidR="00AC4395" w:rsidRPr="00B80B61" w:rsidTr="009667BF">
        <w:tc>
          <w:tcPr>
            <w:tcW w:w="4286" w:type="dxa"/>
            <w:gridSpan w:val="6"/>
            <w:shd w:val="clear" w:color="auto" w:fill="auto"/>
          </w:tcPr>
          <w:p w:rsidR="00AC4395" w:rsidRPr="00B80B61" w:rsidRDefault="00AC4395" w:rsidP="0018582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5254" w:type="dxa"/>
            <w:gridSpan w:val="3"/>
            <w:shd w:val="clear" w:color="auto" w:fill="auto"/>
          </w:tcPr>
          <w:p w:rsidR="00861F0D" w:rsidRDefault="00861F0D" w:rsidP="00861F0D">
            <w:pPr>
              <w:autoSpaceDE w:val="0"/>
              <w:autoSpaceDN w:val="0"/>
              <w:adjustRightInd w:val="0"/>
              <w:rPr>
                <w:rFonts w:ascii="CIDFont+F1" w:cs="CIDFont+F1"/>
                <w:color w:val="1D1D1D"/>
                <w:sz w:val="21"/>
                <w:szCs w:val="21"/>
              </w:rPr>
            </w:pPr>
            <w:r>
              <w:rPr>
                <w:rFonts w:ascii="CIDFont+F1" w:cs="CIDFont+F1"/>
                <w:color w:val="1D1D1D"/>
                <w:sz w:val="21"/>
                <w:szCs w:val="21"/>
              </w:rPr>
              <w:t>ENGINEERING ECONOMY, Leland Blank , P. E., Anthony</w:t>
            </w:r>
          </w:p>
          <w:p w:rsidR="00861F0D" w:rsidRDefault="00861F0D" w:rsidP="00861F0D">
            <w:pPr>
              <w:autoSpaceDE w:val="0"/>
              <w:autoSpaceDN w:val="0"/>
              <w:adjustRightInd w:val="0"/>
              <w:rPr>
                <w:rFonts w:ascii="CIDFont+F1" w:cs="CIDFont+F1"/>
                <w:color w:val="1D1D1D"/>
                <w:sz w:val="21"/>
                <w:szCs w:val="21"/>
              </w:rPr>
            </w:pPr>
            <w:r>
              <w:rPr>
                <w:rFonts w:ascii="CIDFont+F1" w:cs="CIDFont+F1"/>
                <w:color w:val="1D1D1D"/>
                <w:sz w:val="21"/>
                <w:szCs w:val="21"/>
              </w:rPr>
              <w:t>Tarquin , P. E.,7</w:t>
            </w:r>
            <w:r>
              <w:rPr>
                <w:rFonts w:ascii="CIDFont+F1" w:cs="CIDFont+F1"/>
                <w:color w:val="1D1D1D"/>
                <w:sz w:val="13"/>
                <w:szCs w:val="13"/>
              </w:rPr>
              <w:t xml:space="preserve">TH </w:t>
            </w:r>
            <w:r>
              <w:rPr>
                <w:rFonts w:ascii="CIDFont+F1" w:cs="CIDFont+F1"/>
                <w:color w:val="1D1D1D"/>
                <w:sz w:val="21"/>
                <w:szCs w:val="21"/>
              </w:rPr>
              <w:t>EDITION</w:t>
            </w:r>
          </w:p>
          <w:p w:rsidR="00861F0D" w:rsidRDefault="00861F0D" w:rsidP="00861F0D">
            <w:pPr>
              <w:autoSpaceDE w:val="0"/>
              <w:autoSpaceDN w:val="0"/>
              <w:adjustRightInd w:val="0"/>
              <w:rPr>
                <w:rFonts w:ascii="CIDFont+F1" w:cs="CIDFont+F1"/>
                <w:color w:val="0000FF"/>
                <w:sz w:val="21"/>
                <w:szCs w:val="21"/>
              </w:rPr>
            </w:pPr>
            <w:r>
              <w:rPr>
                <w:rFonts w:ascii="CIDFont+F1" w:cs="CIDFont+F1"/>
                <w:color w:val="0000FF"/>
                <w:sz w:val="21"/>
                <w:szCs w:val="21"/>
              </w:rPr>
              <w:t>staff.emu.edu.tr/</w:t>
            </w:r>
            <w:proofErr w:type="spellStart"/>
            <w:r>
              <w:rPr>
                <w:rFonts w:ascii="CIDFont+F1" w:cs="CIDFont+F1"/>
                <w:color w:val="0000FF"/>
                <w:sz w:val="21"/>
                <w:szCs w:val="21"/>
              </w:rPr>
              <w:t>elnazgholipour</w:t>
            </w:r>
            <w:proofErr w:type="spellEnd"/>
            <w:r>
              <w:rPr>
                <w:rFonts w:ascii="CIDFont+F1" w:cs="CIDFont+F1"/>
                <w:color w:val="0000FF"/>
                <w:sz w:val="21"/>
                <w:szCs w:val="21"/>
              </w:rPr>
              <w:t>/Documents/courses/ieng42</w:t>
            </w:r>
          </w:p>
          <w:p w:rsidR="00AC4395" w:rsidRDefault="00861F0D" w:rsidP="00861F0D">
            <w:pPr>
              <w:shd w:val="clear" w:color="auto" w:fill="FFFFFF"/>
              <w:spacing w:line="360" w:lineRule="auto"/>
              <w:ind w:left="1" w:right="105" w:hanging="3"/>
              <w:jc w:val="both"/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</w:pPr>
            <w:r>
              <w:rPr>
                <w:rFonts w:ascii="CIDFont+F1" w:cs="CIDFont+F1"/>
                <w:color w:val="0000FF"/>
                <w:sz w:val="21"/>
                <w:szCs w:val="21"/>
              </w:rPr>
              <w:t>0/lecture-notes/spring-2020-2021/Engineering-Economy.pdf</w:t>
            </w:r>
          </w:p>
          <w:p w:rsidR="00861F0D" w:rsidRDefault="00861F0D" w:rsidP="00861F0D">
            <w:pPr>
              <w:shd w:val="clear" w:color="auto" w:fill="FFFFFF"/>
              <w:spacing w:line="360" w:lineRule="auto"/>
              <w:ind w:left="1" w:right="105" w:hanging="3"/>
              <w:jc w:val="both"/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</w:pPr>
          </w:p>
          <w:p w:rsidR="00861F0D" w:rsidRPr="00CD36FF" w:rsidRDefault="00861F0D" w:rsidP="00861F0D">
            <w:pPr>
              <w:spacing w:line="36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Engineering Economy, </w:t>
            </w:r>
            <w:r w:rsidRPr="00CD36FF">
              <w:rPr>
                <w:rFonts w:asciiTheme="majorBidi" w:hAnsiTheme="majorBidi" w:cstheme="majorBidi"/>
                <w:sz w:val="24"/>
                <w:szCs w:val="24"/>
              </w:rPr>
              <w:t xml:space="preserve">E. Paul </w:t>
            </w:r>
            <w:proofErr w:type="spellStart"/>
            <w:r w:rsidRPr="00CD36FF">
              <w:rPr>
                <w:rFonts w:asciiTheme="majorBidi" w:hAnsiTheme="majorBidi" w:cstheme="majorBidi"/>
                <w:sz w:val="24"/>
                <w:szCs w:val="24"/>
              </w:rPr>
              <w:t>DeGarmo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, Eight Edition</w:t>
            </w:r>
          </w:p>
          <w:p w:rsidR="00861F0D" w:rsidRPr="00924CC9" w:rsidRDefault="00861F0D" w:rsidP="00861F0D">
            <w:pPr>
              <w:shd w:val="clear" w:color="auto" w:fill="FFFFFF"/>
              <w:spacing w:line="360" w:lineRule="auto"/>
              <w:ind w:left="1" w:right="105" w:hanging="3"/>
              <w:jc w:val="both"/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</w:pPr>
          </w:p>
        </w:tc>
      </w:tr>
      <w:tr w:rsidR="00AC4395" w:rsidRPr="00B80B61" w:rsidTr="009667BF">
        <w:tc>
          <w:tcPr>
            <w:tcW w:w="4286" w:type="dxa"/>
            <w:gridSpan w:val="6"/>
            <w:shd w:val="clear" w:color="auto" w:fill="auto"/>
          </w:tcPr>
          <w:p w:rsidR="00AC4395" w:rsidRPr="00B80B61" w:rsidRDefault="00AC4395" w:rsidP="0018582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5254" w:type="dxa"/>
            <w:gridSpan w:val="3"/>
            <w:shd w:val="clear" w:color="auto" w:fill="auto"/>
          </w:tcPr>
          <w:p w:rsidR="00861F0D" w:rsidRDefault="00861F0D" w:rsidP="00861F0D">
            <w:pPr>
              <w:autoSpaceDE w:val="0"/>
              <w:autoSpaceDN w:val="0"/>
              <w:adjustRightInd w:val="0"/>
              <w:rPr>
                <w:rFonts w:ascii="CIDFont+F1" w:cs="CIDFont+F1"/>
                <w:color w:val="000000"/>
                <w:sz w:val="21"/>
                <w:szCs w:val="21"/>
              </w:rPr>
            </w:pPr>
            <w:r>
              <w:rPr>
                <w:rFonts w:ascii="CIDFont+F1" w:cs="CIDFont+F1"/>
                <w:color w:val="000000"/>
                <w:sz w:val="21"/>
                <w:szCs w:val="21"/>
              </w:rPr>
              <w:t xml:space="preserve">Engineering Economics , R. </w:t>
            </w:r>
            <w:proofErr w:type="spellStart"/>
            <w:r>
              <w:rPr>
                <w:rFonts w:ascii="CIDFont+F1" w:cs="CIDFont+F1"/>
                <w:color w:val="000000"/>
                <w:sz w:val="21"/>
                <w:szCs w:val="21"/>
              </w:rPr>
              <w:t>Panneerselvam</w:t>
            </w:r>
            <w:proofErr w:type="spellEnd"/>
            <w:r>
              <w:rPr>
                <w:rFonts w:ascii="CIDFont+F1" w:cs="CIDFont+F1"/>
                <w:color w:val="000000"/>
                <w:sz w:val="21"/>
                <w:szCs w:val="21"/>
              </w:rPr>
              <w:t xml:space="preserve"> Professor School</w:t>
            </w:r>
          </w:p>
          <w:p w:rsidR="00861F0D" w:rsidRDefault="00861F0D" w:rsidP="00861F0D">
            <w:pPr>
              <w:autoSpaceDE w:val="0"/>
              <w:autoSpaceDN w:val="0"/>
              <w:adjustRightInd w:val="0"/>
              <w:rPr>
                <w:rFonts w:ascii="CIDFont+F1" w:cs="CIDFont+F1"/>
                <w:color w:val="000000"/>
                <w:sz w:val="21"/>
                <w:szCs w:val="21"/>
              </w:rPr>
            </w:pPr>
            <w:r>
              <w:rPr>
                <w:rFonts w:ascii="CIDFont+F1" w:cs="CIDFont+F1"/>
                <w:color w:val="000000"/>
                <w:sz w:val="21"/>
                <w:szCs w:val="21"/>
              </w:rPr>
              <w:t>of Management Pondicherry University .</w:t>
            </w:r>
          </w:p>
          <w:p w:rsidR="00AC4395" w:rsidRDefault="00861F0D" w:rsidP="00861F0D">
            <w:pPr>
              <w:shd w:val="clear" w:color="auto" w:fill="FFFFFF"/>
              <w:spacing w:line="360" w:lineRule="auto"/>
              <w:ind w:right="-426" w:hanging="2"/>
              <w:jc w:val="both"/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</w:pPr>
            <w:r>
              <w:rPr>
                <w:rFonts w:ascii="CIDFont+F1" w:cs="CIDFont+F1"/>
                <w:color w:val="0000FF"/>
                <w:sz w:val="21"/>
                <w:szCs w:val="21"/>
              </w:rPr>
              <w:t>ENGINEERING ECONOMICS (uoanbar.edu.iq)</w:t>
            </w:r>
          </w:p>
          <w:p w:rsidR="00861F0D" w:rsidRDefault="00861F0D" w:rsidP="00861F0D">
            <w:pPr>
              <w:shd w:val="clear" w:color="auto" w:fill="FFFFFF"/>
              <w:spacing w:line="360" w:lineRule="auto"/>
              <w:ind w:right="-426" w:hanging="2"/>
              <w:jc w:val="both"/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</w:pPr>
          </w:p>
          <w:p w:rsidR="00861F0D" w:rsidRPr="00924CC9" w:rsidRDefault="00861F0D" w:rsidP="00861F0D">
            <w:pPr>
              <w:shd w:val="clear" w:color="auto" w:fill="FFFFFF"/>
              <w:spacing w:line="360" w:lineRule="auto"/>
              <w:ind w:right="-426" w:hanging="2"/>
              <w:jc w:val="both"/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Blank, Leland T., and Anthony J. Tarquin. "Engineering economy." </w:t>
            </w:r>
            <w:r>
              <w:rPr>
                <w:rFonts w:ascii="Arial" w:hAnsi="Arial" w:cs="Arial"/>
                <w:i/>
                <w:iCs/>
                <w:color w:val="222222"/>
                <w:shd w:val="clear" w:color="auto" w:fill="FFFFFF"/>
              </w:rPr>
              <w:t>(No Title)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 (2005).</w:t>
            </w:r>
            <w:r>
              <w:rPr>
                <w:rFonts w:ascii="Arial" w:hAnsi="Arial" w:cs="Arial"/>
                <w:color w:val="222222"/>
                <w:shd w:val="clear" w:color="auto" w:fill="FFFFFF"/>
                <w:rtl/>
              </w:rPr>
              <w:t>‏</w:t>
            </w:r>
          </w:p>
        </w:tc>
      </w:tr>
      <w:tr w:rsidR="009667BF" w:rsidRPr="00B80B61" w:rsidTr="009667BF">
        <w:tc>
          <w:tcPr>
            <w:tcW w:w="4286" w:type="dxa"/>
            <w:gridSpan w:val="6"/>
            <w:shd w:val="clear" w:color="auto" w:fill="auto"/>
          </w:tcPr>
          <w:p w:rsidR="009667BF" w:rsidRPr="00B80B61" w:rsidRDefault="009667BF" w:rsidP="0018582F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5254" w:type="dxa"/>
            <w:gridSpan w:val="3"/>
            <w:shd w:val="clear" w:color="auto" w:fill="auto"/>
          </w:tcPr>
          <w:p w:rsidR="009667BF" w:rsidRPr="004334E3" w:rsidRDefault="009667BF" w:rsidP="00F23AC6">
            <w:pPr>
              <w:autoSpaceDE w:val="0"/>
              <w:autoSpaceDN w:val="0"/>
              <w:adjustRightInd w:val="0"/>
              <w:ind w:left="1" w:hanging="3"/>
              <w:rPr>
                <w:rFonts w:ascii="Cambria" w:hAnsi="Cambria"/>
                <w:sz w:val="28"/>
                <w:szCs w:val="28"/>
                <w:lang w:bidi="ar-IQ"/>
              </w:rPr>
            </w:pPr>
            <w:r>
              <w:rPr>
                <w:rFonts w:ascii="Cambria" w:hAnsi="Cambria"/>
                <w:sz w:val="28"/>
                <w:szCs w:val="28"/>
                <w:lang w:bidi="ar-IQ"/>
              </w:rPr>
              <w:t>ASCE periodicals</w:t>
            </w:r>
          </w:p>
        </w:tc>
      </w:tr>
      <w:tr w:rsidR="009667BF" w:rsidRPr="00B80B61" w:rsidTr="009667BF">
        <w:tc>
          <w:tcPr>
            <w:tcW w:w="4286" w:type="dxa"/>
            <w:gridSpan w:val="6"/>
            <w:shd w:val="clear" w:color="auto" w:fill="auto"/>
          </w:tcPr>
          <w:p w:rsidR="009667BF" w:rsidRPr="00B80B61" w:rsidRDefault="009667BF" w:rsidP="0018582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5254" w:type="dxa"/>
            <w:gridSpan w:val="3"/>
            <w:shd w:val="clear" w:color="auto" w:fill="auto"/>
          </w:tcPr>
          <w:p w:rsidR="009667BF" w:rsidRDefault="009667BF" w:rsidP="00F23AC6">
            <w:pPr>
              <w:shd w:val="clear" w:color="auto" w:fill="FFFFFF"/>
              <w:spacing w:line="360" w:lineRule="auto"/>
              <w:ind w:right="-426"/>
              <w:jc w:val="both"/>
            </w:pPr>
            <w:hyperlink r:id="rId11" w:history="1">
              <w:r w:rsidRPr="00457D9F">
                <w:rPr>
                  <w:rStyle w:val="Hyperlink"/>
                </w:rPr>
                <w:t>https://ascelibrary.org/</w:t>
              </w:r>
            </w:hyperlink>
          </w:p>
          <w:p w:rsidR="009667BF" w:rsidRPr="00924CC9" w:rsidRDefault="009667BF" w:rsidP="00F23AC6">
            <w:pPr>
              <w:shd w:val="clear" w:color="auto" w:fill="FFFFFF"/>
              <w:spacing w:line="360" w:lineRule="auto"/>
              <w:ind w:right="-426"/>
              <w:jc w:val="both"/>
              <w:rPr>
                <w:rFonts w:asciiTheme="majorBidi" w:eastAsia="Cambria" w:hAnsiTheme="majorBidi" w:cstheme="majorBidi"/>
                <w:bCs/>
                <w:sz w:val="28"/>
                <w:szCs w:val="28"/>
              </w:rPr>
            </w:pPr>
          </w:p>
        </w:tc>
      </w:tr>
    </w:tbl>
    <w:p w:rsidR="001B1366" w:rsidRPr="0065671F" w:rsidRDefault="001B1366" w:rsidP="0018582F">
      <w:pPr>
        <w:shd w:val="clear" w:color="auto" w:fill="FFFFFF"/>
        <w:autoSpaceDE w:val="0"/>
        <w:autoSpaceDN w:val="0"/>
        <w:adjustRightInd w:val="0"/>
        <w:spacing w:before="240" w:after="200"/>
        <w:ind w:left="360" w:right="-426"/>
        <w:jc w:val="both"/>
        <w:rPr>
          <w:rFonts w:ascii="Arial" w:hAnsi="Arial" w:cs="Arial"/>
          <w:sz w:val="28"/>
          <w:szCs w:val="28"/>
          <w:lang w:bidi="ar-IQ"/>
        </w:rPr>
      </w:pPr>
    </w:p>
    <w:sectPr w:rsidR="001B1366" w:rsidRPr="0065671F" w:rsidSect="00FA1E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F1" w:rsidRDefault="005E76F1">
      <w:r>
        <w:separator/>
      </w:r>
    </w:p>
  </w:endnote>
  <w:endnote w:type="continuationSeparator" w:id="0">
    <w:p w:rsidR="005E76F1" w:rsidRDefault="005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IDFont+F1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C9" w:rsidRDefault="003A68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390"/>
      <w:gridCol w:w="976"/>
      <w:gridCol w:w="4390"/>
    </w:tblGrid>
    <w:tr w:rsidR="00807DE1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07DE1" w:rsidRPr="00807DE1" w:rsidRDefault="00CE51EB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="00807DE1"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9667BF" w:rsidRPr="009667BF">
            <w:rPr>
              <w:rFonts w:ascii="Cambria" w:hAnsi="Cambria"/>
              <w:b/>
              <w:noProof/>
            </w:rPr>
            <w:t>1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807DE1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:rsidR="00807DE1" w:rsidRDefault="00807D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C9" w:rsidRDefault="003A68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F1" w:rsidRDefault="005E76F1">
      <w:r>
        <w:separator/>
      </w:r>
    </w:p>
  </w:footnote>
  <w:footnote w:type="continuationSeparator" w:id="0">
    <w:p w:rsidR="005E76F1" w:rsidRDefault="005E7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C9" w:rsidRDefault="003A68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C9" w:rsidRDefault="003A68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C9" w:rsidRDefault="003A68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3103"/>
    <w:multiLevelType w:val="hybridMultilevel"/>
    <w:tmpl w:val="EB6A02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372690"/>
    <w:multiLevelType w:val="hybridMultilevel"/>
    <w:tmpl w:val="357AE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07D9B"/>
    <w:multiLevelType w:val="hybridMultilevel"/>
    <w:tmpl w:val="F6B40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93F1F"/>
    <w:multiLevelType w:val="hybridMultilevel"/>
    <w:tmpl w:val="A2BC9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2A"/>
    <w:rsid w:val="00005774"/>
    <w:rsid w:val="00007B9F"/>
    <w:rsid w:val="0001169E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03CB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8582F"/>
    <w:rsid w:val="001916A2"/>
    <w:rsid w:val="001941DF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293A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3F7A1C"/>
    <w:rsid w:val="00406DC6"/>
    <w:rsid w:val="00422AC1"/>
    <w:rsid w:val="004334E3"/>
    <w:rsid w:val="004361D7"/>
    <w:rsid w:val="004556D8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18F"/>
    <w:rsid w:val="004E0EBA"/>
    <w:rsid w:val="004E1A82"/>
    <w:rsid w:val="004E3ECF"/>
    <w:rsid w:val="004E60C2"/>
    <w:rsid w:val="004F0938"/>
    <w:rsid w:val="00507906"/>
    <w:rsid w:val="00514BD1"/>
    <w:rsid w:val="00516004"/>
    <w:rsid w:val="005213B2"/>
    <w:rsid w:val="00534329"/>
    <w:rsid w:val="00535D14"/>
    <w:rsid w:val="00576195"/>
    <w:rsid w:val="00581B3C"/>
    <w:rsid w:val="005827E2"/>
    <w:rsid w:val="00584D07"/>
    <w:rsid w:val="00584DA6"/>
    <w:rsid w:val="00586C9E"/>
    <w:rsid w:val="00595034"/>
    <w:rsid w:val="0059587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E76F1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4E34"/>
    <w:rsid w:val="0065671F"/>
    <w:rsid w:val="00671EDD"/>
    <w:rsid w:val="0067364E"/>
    <w:rsid w:val="00677895"/>
    <w:rsid w:val="006A0624"/>
    <w:rsid w:val="006A1ABC"/>
    <w:rsid w:val="006A73CC"/>
    <w:rsid w:val="006B2C5F"/>
    <w:rsid w:val="006B6B2C"/>
    <w:rsid w:val="006C2FDA"/>
    <w:rsid w:val="006C3D14"/>
    <w:rsid w:val="006C5CDF"/>
    <w:rsid w:val="006D2916"/>
    <w:rsid w:val="006D4F39"/>
    <w:rsid w:val="006D6630"/>
    <w:rsid w:val="006E0C8C"/>
    <w:rsid w:val="007028BA"/>
    <w:rsid w:val="00704757"/>
    <w:rsid w:val="0074532D"/>
    <w:rsid w:val="0075530C"/>
    <w:rsid w:val="0075633E"/>
    <w:rsid w:val="007600F6"/>
    <w:rsid w:val="007645B4"/>
    <w:rsid w:val="007716A6"/>
    <w:rsid w:val="00772823"/>
    <w:rsid w:val="0078752C"/>
    <w:rsid w:val="0079031B"/>
    <w:rsid w:val="00791E2A"/>
    <w:rsid w:val="007A4791"/>
    <w:rsid w:val="007A5283"/>
    <w:rsid w:val="007A7C20"/>
    <w:rsid w:val="007B0B99"/>
    <w:rsid w:val="007B21F5"/>
    <w:rsid w:val="007B671C"/>
    <w:rsid w:val="007D4CFD"/>
    <w:rsid w:val="007E7D56"/>
    <w:rsid w:val="007F319C"/>
    <w:rsid w:val="007F4AC0"/>
    <w:rsid w:val="007F57BE"/>
    <w:rsid w:val="00807DE1"/>
    <w:rsid w:val="00840981"/>
    <w:rsid w:val="008467A5"/>
    <w:rsid w:val="00847CF6"/>
    <w:rsid w:val="00852557"/>
    <w:rsid w:val="0085371B"/>
    <w:rsid w:val="00853848"/>
    <w:rsid w:val="00861F0D"/>
    <w:rsid w:val="00867A6A"/>
    <w:rsid w:val="00867FFC"/>
    <w:rsid w:val="00871677"/>
    <w:rsid w:val="00873B99"/>
    <w:rsid w:val="00873C7E"/>
    <w:rsid w:val="00876827"/>
    <w:rsid w:val="0088070E"/>
    <w:rsid w:val="00882321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428CF"/>
    <w:rsid w:val="00944B35"/>
    <w:rsid w:val="00945C15"/>
    <w:rsid w:val="00956644"/>
    <w:rsid w:val="009667BF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25AA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B2B0D"/>
    <w:rsid w:val="00AB71A5"/>
    <w:rsid w:val="00AC4395"/>
    <w:rsid w:val="00AC6CFB"/>
    <w:rsid w:val="00AD1BD9"/>
    <w:rsid w:val="00AD2A3A"/>
    <w:rsid w:val="00AD3287"/>
    <w:rsid w:val="00AD37EA"/>
    <w:rsid w:val="00AD4058"/>
    <w:rsid w:val="00AD59D6"/>
    <w:rsid w:val="00AD6BCF"/>
    <w:rsid w:val="00AE167A"/>
    <w:rsid w:val="00AE3B27"/>
    <w:rsid w:val="00AF09DD"/>
    <w:rsid w:val="00AF5BC7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BF6D0D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2F87"/>
    <w:rsid w:val="00C958F4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E51EB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A6047"/>
    <w:rsid w:val="00DB131F"/>
    <w:rsid w:val="00DB7B31"/>
    <w:rsid w:val="00DC5FB3"/>
    <w:rsid w:val="00DD27C0"/>
    <w:rsid w:val="00DF01A9"/>
    <w:rsid w:val="00DF52B3"/>
    <w:rsid w:val="00E17DF2"/>
    <w:rsid w:val="00E24400"/>
    <w:rsid w:val="00E2684E"/>
    <w:rsid w:val="00E27076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B72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dTable2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Hyperlink">
    <w:name w:val="Hyperlink"/>
    <w:basedOn w:val="DefaultParagraphFont"/>
    <w:uiPriority w:val="99"/>
    <w:rsid w:val="00DF52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scelibrary.org/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mailto:ahmed.mancy@muc.edu.iq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CDCBDD-ED4F-4D40-8F9C-71DD3A2F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>SACC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creator>Lez</dc:creator>
  <cp:lastModifiedBy>mwedia</cp:lastModifiedBy>
  <cp:revision>14</cp:revision>
  <cp:lastPrinted>2024-01-23T07:51:00Z</cp:lastPrinted>
  <dcterms:created xsi:type="dcterms:W3CDTF">2024-04-08T06:21:00Z</dcterms:created>
  <dcterms:modified xsi:type="dcterms:W3CDTF">2024-04-14T09:24:00Z</dcterms:modified>
</cp:coreProperties>
</file>