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B07" w:rsidRPr="00EE06F8" w:rsidRDefault="00360B07" w:rsidP="00360B07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:rsidTr="00DB0B93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مراجعة أداء مؤسسات التعليم العالي ((مراجعة البرنامج الأكاديمي))</w:t>
            </w:r>
          </w:p>
        </w:tc>
      </w:tr>
    </w:tbl>
    <w:p w:rsidR="00360B07" w:rsidRDefault="00360B07" w:rsidP="00360B07">
      <w:pPr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:rsidTr="00DB0B93">
        <w:trPr>
          <w:trHeight w:val="794"/>
        </w:trPr>
        <w:tc>
          <w:tcPr>
            <w:tcW w:w="9720" w:type="dxa"/>
            <w:shd w:val="clear" w:color="auto" w:fill="A7BFDE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 xml:space="preserve">يوفر وصف المقرر هذا إيجازاً مقتضياً لأهم خصائص المقرر ومخرجات التعلم المتوقعة من الطالب تحقيقها مبرهناً عما إذا كان قد حقق الاستفادة القصوى من فرص </w:t>
            </w:r>
            <w:r w:rsidRPr="00DB131F"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 xml:space="preserve">التعلم </w:t>
            </w:r>
            <w:r w:rsidRPr="00DB131F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>المتاحة. ولابد من الربط بينها وبين وصف البرنامج.</w:t>
            </w:r>
          </w:p>
        </w:tc>
      </w:tr>
    </w:tbl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940"/>
      </w:tblGrid>
      <w:tr w:rsidR="00360B07" w:rsidRPr="00DB131F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571BF4" w:rsidRDefault="00191EF9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sz w:val="28"/>
                <w:szCs w:val="28"/>
                <w:rtl/>
                <w:lang w:bidi="ar-IQ"/>
              </w:rPr>
              <w:t xml:space="preserve">وزارة التعليم العالي والبحث العلمي </w:t>
            </w:r>
            <w:r w:rsidRPr="00145B4B">
              <w:rPr>
                <w:rFonts w:ascii="Cambria" w:hAnsi="Cambria" w:cs="Times New Roman" w:hint="cs"/>
                <w:sz w:val="28"/>
                <w:szCs w:val="28"/>
                <w:rtl/>
                <w:lang w:bidi="ar-IQ"/>
              </w:rPr>
              <w:t>كلية</w:t>
            </w:r>
            <w:r>
              <w:rPr>
                <w:rFonts w:ascii="Cambria" w:hAnsi="Cambria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145B4B">
              <w:rPr>
                <w:rFonts w:ascii="Cambria" w:hAnsi="Cambria" w:cs="Times New Roman" w:hint="cs"/>
                <w:sz w:val="28"/>
                <w:szCs w:val="28"/>
                <w:rtl/>
                <w:lang w:bidi="ar-IQ"/>
              </w:rPr>
              <w:t>المنصور</w:t>
            </w:r>
            <w:r>
              <w:rPr>
                <w:rFonts w:ascii="Cambria" w:hAnsi="Cambria" w:cs="Times New Roman" w:hint="cs"/>
                <w:sz w:val="28"/>
                <w:szCs w:val="28"/>
                <w:rtl/>
                <w:lang w:bidi="ar-IQ"/>
              </w:rPr>
              <w:t xml:space="preserve"> </w:t>
            </w:r>
            <w:r w:rsidRPr="00145B4B">
              <w:rPr>
                <w:rFonts w:ascii="Cambria" w:hAnsi="Cambria" w:cs="Times New Roman" w:hint="cs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القسم الجامعي /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571BF4" w:rsidRDefault="00360B0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571BF4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191EF9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قسم الاعلام الرقمي</w:t>
            </w: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اسم /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44153C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العلاقات العامة الالكترونية</w:t>
            </w:r>
            <w:r w:rsidR="00360B0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360B07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 w:rsidR="00D9288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المرحلة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الرابعة</w:t>
            </w: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الفصل /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DB131F" w:rsidRDefault="00360B07" w:rsidP="007D3720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السنة الدراسية </w:t>
            </w:r>
            <w:r w:rsidR="007D3720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2023</w:t>
            </w:r>
            <w:r w:rsidR="00211FFD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</w:t>
            </w:r>
            <w:r w:rsidR="007D3720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 xml:space="preserve">2024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(الكلي)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(2) س اسبوعيا </w:t>
            </w:r>
          </w:p>
        </w:tc>
      </w:tr>
      <w:tr w:rsidR="00360B07" w:rsidRPr="00DB131F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:rsidR="00360B07" w:rsidRPr="00DB131F" w:rsidRDefault="00211FFD" w:rsidP="0044153C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44153C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28</w:t>
            </w:r>
            <w:r w:rsidR="00360B0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44153C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11</w:t>
            </w:r>
            <w:bookmarkStart w:id="0" w:name="_GoBack"/>
            <w:bookmarkEnd w:id="0"/>
            <w:r w:rsidR="00360B0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2B0A47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>2023</w:t>
            </w:r>
          </w:p>
        </w:tc>
      </w:tr>
      <w:tr w:rsidR="00360B07" w:rsidRPr="00DB131F" w:rsidTr="00DB0B93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اكساب المتعلمين المعرفة بمبادئ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العلاقات العامة الرقمية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:rsidR="00360B07" w:rsidRPr="00D73B4C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معرفة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مرتكزات العلاقات العامة الرقمية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وسائل الاتصال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الالكتروني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استخدام تكنولوجيا المعلومات والاتصال في مجال العلاقات العامة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جمهور وسائل الاتصال الالكترونية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780BC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تصميم الوسائل الاتصالية واعدادها في العلاقات العامة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780BCF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.  التعرف على </w:t>
            </w:r>
            <w:r w:rsidR="00780BC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حملات العلاقات العامة الكترونيا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:rsidR="00360B07" w:rsidRPr="00D73B4C" w:rsidRDefault="00360B07" w:rsidP="00DB0B93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360B07" w:rsidRPr="0020555A" w:rsidRDefault="00360B07" w:rsidP="00360B07">
      <w:pPr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:rsidTr="00DB0B93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مخرجات التعلم وطرائق التعليم والتعلم والتقييم</w:t>
            </w:r>
          </w:p>
        </w:tc>
      </w:tr>
      <w:tr w:rsidR="00360B07" w:rsidRPr="00DB131F" w:rsidTr="00DB0B93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أ- المعرفة والفهم 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أ1-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مفهوم الاتصال الالكتروني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أ2-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الاتصال الالكتروني في العلاقات العامة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. 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أ3- 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التعرف على اثر الاتصال الالكتروني في العلاقات العامة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. 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أ4-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تحليل المواقع الالكترونية محليا ودوليا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أ5-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تنمية توقعات الكفاءة الذاتية باتجاه 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تحديد الجمهور وابعاد دراسته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</w:p>
        </w:tc>
      </w:tr>
      <w:tr w:rsidR="00360B07" w:rsidRPr="00DB131F" w:rsidTr="00DB0B93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-  المهارات الخاصة بالموضوع 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ب1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تنظيم التعلم 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في مفهوم العلاقات العامة الرقمية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.</w:t>
            </w:r>
          </w:p>
          <w:p w:rsidR="00360B07" w:rsidRPr="00DB131F" w:rsidRDefault="00360B07" w:rsidP="00780BCF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ب2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تشكيل رؤية مستقبلية باتجاه بناء </w:t>
            </w:r>
            <w:r w:rsidR="00780BC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اساسات العلاقات العامة الرقمية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. </w:t>
            </w:r>
          </w:p>
        </w:tc>
      </w:tr>
      <w:tr w:rsidR="00360B07" w:rsidRPr="00DB131F" w:rsidTr="00DB0B93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360B07" w:rsidRPr="00DB131F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rtl/>
                <w:lang w:bidi="ar-IQ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>طريقة  الالقاء والاستجواب الحي وحل المشكلات والمناقشة</w:t>
            </w:r>
          </w:p>
          <w:p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تضمين طرائق التدريس استعمال للتكنولوجيا التعليم (الداتو شو ) </w:t>
            </w:r>
          </w:p>
          <w:p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تشجيع الطلبة على التعلم الذاتي </w:t>
            </w:r>
          </w:p>
        </w:tc>
      </w:tr>
      <w:tr w:rsidR="00360B07" w:rsidRPr="00DB131F" w:rsidTr="00DB0B93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360B07" w:rsidRPr="00DB131F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360B07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الاختبارات التحريرية المقالية والموضوعية  مع ملاحظة التدريسي لشكل النشاط  للمتعلم  باعتماد اساليب </w:t>
            </w:r>
          </w:p>
          <w:p w:rsidR="00360B07" w:rsidRPr="00DB131F" w:rsidRDefault="00360B07" w:rsidP="00360B07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(التقويم التمهيدي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التقويم البنائي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التقويم الختامي ) ممثلا في الاختبارات الفصلية والنهائية </w:t>
            </w:r>
          </w:p>
        </w:tc>
      </w:tr>
      <w:tr w:rsidR="00360B07" w:rsidRPr="00DB131F" w:rsidTr="00DB0B93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 مهارات التفكير</w:t>
            </w:r>
          </w:p>
          <w:p w:rsidR="00360B07" w:rsidRPr="00DB131F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التخطيط</w:t>
            </w:r>
          </w:p>
          <w:p w:rsidR="00360B07" w:rsidRPr="00DB131F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التنظيم </w:t>
            </w:r>
          </w:p>
          <w:p w:rsidR="00360B07" w:rsidRPr="00DB131F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المراقبة</w:t>
            </w:r>
          </w:p>
          <w:p w:rsidR="00360B07" w:rsidRPr="00DB131F" w:rsidRDefault="00360B07" w:rsidP="00360B07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ج4-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التقويم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:rsidTr="00DB0B93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360B07" w:rsidRPr="00DB131F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الالقاء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الاستجواب الحي </w:t>
            </w:r>
          </w:p>
          <w:p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التعلم المنظم ذاتيا </w:t>
            </w:r>
          </w:p>
        </w:tc>
      </w:tr>
      <w:tr w:rsidR="00360B07" w:rsidRPr="00DB131F" w:rsidTr="00DB0B93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360B07" w:rsidRPr="00DB131F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360B07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الاختبارات التحريرية  والملاحظة  </w:t>
            </w:r>
          </w:p>
        </w:tc>
      </w:tr>
      <w:tr w:rsidR="00360B07" w:rsidRPr="00DB131F" w:rsidTr="00DB0B93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 - المهارات  العامة والمنقولة ( المهارات الأخرى المتعلقة بقابلية التوظيف والتطور الشخصي ).</w:t>
            </w:r>
          </w:p>
          <w:p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توفير فرص التعلم المستمر للطلبة وتحفيزهم عليها </w:t>
            </w:r>
          </w:p>
          <w:p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التعلم الذاتي المنظم</w:t>
            </w:r>
          </w:p>
          <w:p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التواصل الاجتماعي</w:t>
            </w:r>
          </w:p>
          <w:p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د4- 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الادارة الذاتية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:rsidR="00360B07" w:rsidRPr="00E779AA" w:rsidRDefault="00360B07" w:rsidP="00360B07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2160"/>
        <w:gridCol w:w="2160"/>
        <w:gridCol w:w="1440"/>
        <w:gridCol w:w="1440"/>
      </w:tblGrid>
      <w:tr w:rsidR="00360B07" w:rsidRPr="00DB131F" w:rsidTr="00DB0B93">
        <w:trPr>
          <w:trHeight w:val="538"/>
        </w:trPr>
        <w:tc>
          <w:tcPr>
            <w:tcW w:w="9720" w:type="dxa"/>
            <w:gridSpan w:val="6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</w:p>
        </w:tc>
      </w:tr>
      <w:tr w:rsidR="00360B07" w:rsidRPr="00DB131F" w:rsidTr="00DB0B93">
        <w:trPr>
          <w:trHeight w:val="907"/>
        </w:trPr>
        <w:tc>
          <w:tcPr>
            <w:tcW w:w="126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الأسبوع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الساعات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مخرجات التعلم المطلوبة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اسم الوحدة / المساق أو الموضوع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التعليم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طريقة التقييم</w:t>
            </w:r>
          </w:p>
        </w:tc>
      </w:tr>
      <w:tr w:rsidR="00360B07" w:rsidRPr="00DB131F" w:rsidTr="00DB0B93">
        <w:trPr>
          <w:trHeight w:val="39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    المشار اليها في المحور السابق وكل حسب المحتوى 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مفهوم </w:t>
            </w:r>
            <w:r w:rsidR="00360B07">
              <w:rPr>
                <w:rFonts w:hint="cs"/>
                <w:b/>
                <w:bCs/>
                <w:rtl/>
              </w:rPr>
              <w:t>الاتصال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39"/>
        </w:trPr>
        <w:tc>
          <w:tcPr>
            <w:tcW w:w="1260" w:type="dxa"/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384B08" w:rsidRDefault="00780BCF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مفهوم الاتصال الالكتروني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20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780BCF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الاتصال الالكتروني في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31"/>
        </w:trPr>
        <w:tc>
          <w:tcPr>
            <w:tcW w:w="1260" w:type="dxa"/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384B08" w:rsidRDefault="00780BCF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اثر الاتصال الالكتروني في العلاقات العامة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40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تطبيق عملي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23"/>
        </w:trPr>
        <w:tc>
          <w:tcPr>
            <w:tcW w:w="1260" w:type="dxa"/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260" w:type="dxa"/>
            <w:shd w:val="clear" w:color="auto" w:fill="D3DFE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shd w:val="clear" w:color="auto" w:fill="D3DFE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استخدام تكنولوجيا المعلومات والاتصال في مجال العلاقات العامة </w:t>
            </w:r>
          </w:p>
        </w:tc>
        <w:tc>
          <w:tcPr>
            <w:tcW w:w="1440" w:type="dxa"/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وظائف الاتصال الالكتروني في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تطبيق عملي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شبكة المعلومات العالمية والعلاقات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توظيف المواقع الالكترونية في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البرامجيات الاساسية لتطبيقات العلاقات الكترونيا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تطبيق عملي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حملات العلاقات العامة الكترونيا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تحليل لمضامين مواقع العلاقات العامة الاكترونية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تحليل تجارب محلية وخارجية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توظيف التسويق الالكتروني في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الاعلان الالكتروني في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تطبيق عملي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lastRenderedPageBreak/>
              <w:t>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lastRenderedPageBreak/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lastRenderedPageBreak/>
              <w:t>19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تصميم الوسائل الاتصالية واعدادها في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مواقع التواصل الاجتماعي والعلاقات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تطبيق عملي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خصائص الاتصال الالكتروني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جمهور الاتصال الالكتروني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374C6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توظيف الروابط الالكترونية المتنوعة في انشطة العلاقات العامة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استخدام العناصر التيبوغرافية في الاتصال الالكتروني 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اهمية تحديد الجمهور وابعاد دراسته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تصنيف الجمهور وفقا لسماته الاجتماعية والفردية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74C6E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التخطيط لاختيار وسائل الاتصال المناسبة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D9288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سمات الاتصال الفعال في العلاقات العامة الرقمية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D9288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تحليل لتجارب وتطبيقات عملية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الالقاء </w:t>
            </w:r>
            <w:r w:rsidRPr="001B335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–</w:t>
            </w: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الاستجواب الحي</w:t>
            </w: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1B3350">
              <w:rPr>
                <w:rFonts w:ascii="Cambria" w:hAnsi="Cambria" w:cs="Times New Roman" w:hint="cs"/>
                <w:color w:val="000000"/>
                <w:sz w:val="24"/>
                <w:szCs w:val="24"/>
                <w:rtl/>
                <w:lang w:bidi="ar-IQ"/>
              </w:rPr>
              <w:t>الاختبارات التحريرية</w:t>
            </w: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D9288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31</w:t>
            </w: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الامتحان</w:t>
            </w: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:rsidTr="00DB0B93">
        <w:trPr>
          <w:trHeight w:val="319"/>
        </w:trPr>
        <w:tc>
          <w:tcPr>
            <w:tcW w:w="126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5862E3" w:rsidRDefault="00360B07" w:rsidP="00DB0B9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2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216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384B08" w:rsidRDefault="00360B07" w:rsidP="00DB0B9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440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14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360B07" w:rsidRPr="00807DE1" w:rsidRDefault="00360B07" w:rsidP="00360B07">
      <w:pPr>
        <w:rPr>
          <w:vanish/>
        </w:rPr>
      </w:pPr>
    </w:p>
    <w:tbl>
      <w:tblPr>
        <w:bidiVisual/>
        <w:tblW w:w="9961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407"/>
        <w:gridCol w:w="5713"/>
        <w:gridCol w:w="241"/>
      </w:tblGrid>
      <w:tr w:rsidR="00360B07" w:rsidRPr="00DB131F" w:rsidTr="00191EF9">
        <w:trPr>
          <w:gridAfter w:val="1"/>
          <w:wAfter w:w="241" w:type="dxa"/>
          <w:trHeight w:val="477"/>
        </w:trPr>
        <w:tc>
          <w:tcPr>
            <w:tcW w:w="9720" w:type="dxa"/>
            <w:gridSpan w:val="3"/>
            <w:shd w:val="clear" w:color="auto" w:fill="A7BFDE"/>
            <w:vAlign w:val="center"/>
          </w:tcPr>
          <w:p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البنية التحتية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قاعات دراسية عدد (5) مكتبة قسم   - شبكة انترنيبت للتدريسيين </w:t>
            </w:r>
          </w:p>
        </w:tc>
      </w:tr>
      <w:tr w:rsidR="00360B07" w:rsidRPr="00DB131F" w:rsidTr="00191EF9">
        <w:trPr>
          <w:gridAfter w:val="1"/>
          <w:wAfter w:w="241" w:type="dxa"/>
          <w:trHeight w:val="1587"/>
        </w:trPr>
        <w:tc>
          <w:tcPr>
            <w:tcW w:w="4007" w:type="dxa"/>
            <w:gridSpan w:val="2"/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القراءات المطلوبة :</w:t>
            </w:r>
          </w:p>
          <w:p w:rsidR="00360B07" w:rsidRPr="00DB131F" w:rsidRDefault="00360B07" w:rsidP="00360B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النصوص الأساسية </w:t>
            </w:r>
          </w:p>
          <w:p w:rsidR="00360B07" w:rsidRPr="00DB131F" w:rsidRDefault="00360B07" w:rsidP="00360B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كتب المقرر</w:t>
            </w:r>
          </w:p>
          <w:p w:rsidR="00360B07" w:rsidRPr="00DB131F" w:rsidRDefault="00360B07" w:rsidP="00360B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أخرى    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:rsidTr="00191EF9">
        <w:trPr>
          <w:gridAfter w:val="1"/>
          <w:wAfter w:w="241" w:type="dxa"/>
          <w:trHeight w:val="1247"/>
        </w:trPr>
        <w:tc>
          <w:tcPr>
            <w:tcW w:w="4007" w:type="dxa"/>
            <w:gridSpan w:val="2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متطلبات خاصة ( وتشمل على سبيل المثال ورش العمل والدوريات والبرمجيات والمواقع الالكترونية )</w:t>
            </w:r>
          </w:p>
        </w:tc>
        <w:tc>
          <w:tcPr>
            <w:tcW w:w="5713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-</w:t>
            </w:r>
          </w:p>
        </w:tc>
      </w:tr>
      <w:tr w:rsidR="00191EF9" w:rsidRPr="00DB131F" w:rsidTr="00191EF9">
        <w:trPr>
          <w:trHeight w:val="1247"/>
        </w:trPr>
        <w:tc>
          <w:tcPr>
            <w:tcW w:w="4007" w:type="dxa"/>
            <w:gridSpan w:val="2"/>
            <w:shd w:val="clear" w:color="auto" w:fill="A7BFD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( وتشمل على سبيل المثال محاضرات الضيوف والتدريب المهني والدراسات الميدانية ) </w:t>
            </w:r>
          </w:p>
        </w:tc>
        <w:tc>
          <w:tcPr>
            <w:tcW w:w="5954" w:type="dxa"/>
            <w:gridSpan w:val="2"/>
            <w:shd w:val="clear" w:color="auto" w:fill="D3DFE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  <w:tr w:rsidR="00191EF9" w:rsidRPr="007D6126" w:rsidTr="00191EF9">
        <w:trPr>
          <w:trHeight w:val="419"/>
        </w:trPr>
        <w:tc>
          <w:tcPr>
            <w:tcW w:w="9961" w:type="dxa"/>
            <w:gridSpan w:val="4"/>
            <w:shd w:val="clear" w:color="auto" w:fill="A7BFDE"/>
            <w:vAlign w:val="center"/>
          </w:tcPr>
          <w:p w:rsidR="00191EF9" w:rsidRPr="007D6126" w:rsidRDefault="00191EF9" w:rsidP="00191EF9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القبول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: </w:t>
            </w:r>
          </w:p>
        </w:tc>
      </w:tr>
      <w:tr w:rsidR="00191EF9" w:rsidRPr="00DB131F" w:rsidTr="00191EF9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361" w:type="dxa"/>
            <w:gridSpan w:val="3"/>
            <w:shd w:val="clear" w:color="auto" w:fill="D3DFE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191EF9" w:rsidRPr="00DB131F" w:rsidTr="00191EF9">
        <w:trPr>
          <w:trHeight w:val="495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أقل عدد من الطلبة</w:t>
            </w:r>
          </w:p>
        </w:tc>
        <w:tc>
          <w:tcPr>
            <w:tcW w:w="6361" w:type="dxa"/>
            <w:gridSpan w:val="3"/>
            <w:tcBorders>
              <w:left w:val="single" w:sz="6" w:space="0" w:color="4F81BD"/>
            </w:tcBorders>
            <w:shd w:val="clear" w:color="auto" w:fill="A7BFD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191EF9" w:rsidRPr="00DB131F" w:rsidTr="00191EF9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361" w:type="dxa"/>
            <w:gridSpan w:val="3"/>
            <w:shd w:val="clear" w:color="auto" w:fill="D3DFEE"/>
            <w:vAlign w:val="center"/>
          </w:tcPr>
          <w:p w:rsidR="00191EF9" w:rsidRPr="00DB131F" w:rsidRDefault="00191EF9" w:rsidP="008E0EAB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4F56A0" w:rsidRDefault="004F56A0"/>
    <w:sectPr w:rsidR="004F56A0" w:rsidSect="00360B07">
      <w:pgSz w:w="11906" w:h="16838"/>
      <w:pgMar w:top="1440" w:right="1800" w:bottom="1135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7162A"/>
    <w:multiLevelType w:val="hybridMultilevel"/>
    <w:tmpl w:val="CA9424EA"/>
    <w:lvl w:ilvl="0" w:tplc="50D8DD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FB"/>
    <w:rsid w:val="00191EF9"/>
    <w:rsid w:val="00211FFD"/>
    <w:rsid w:val="002B0A47"/>
    <w:rsid w:val="003436BB"/>
    <w:rsid w:val="00360B07"/>
    <w:rsid w:val="00374C6E"/>
    <w:rsid w:val="003768FB"/>
    <w:rsid w:val="0044153C"/>
    <w:rsid w:val="004F56A0"/>
    <w:rsid w:val="00780BCF"/>
    <w:rsid w:val="007D3720"/>
    <w:rsid w:val="00D9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657FFB-397B-47D7-90F2-F185F2B8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B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B0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Laith</cp:lastModifiedBy>
  <cp:revision>10</cp:revision>
  <dcterms:created xsi:type="dcterms:W3CDTF">2021-02-11T17:19:00Z</dcterms:created>
  <dcterms:modified xsi:type="dcterms:W3CDTF">2023-11-28T12:07:00Z</dcterms:modified>
</cp:coreProperties>
</file>